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附件3：</w:t>
      </w:r>
    </w:p>
    <w:tbl>
      <w:tblPr>
        <w:tblStyle w:val="2"/>
        <w:tblW w:w="140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12"/>
        <w:gridCol w:w="1543"/>
        <w:gridCol w:w="1260"/>
        <w:gridCol w:w="1800"/>
        <w:gridCol w:w="1081"/>
        <w:gridCol w:w="900"/>
        <w:gridCol w:w="1980"/>
        <w:gridCol w:w="9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昆明理工大学研究生实验室（工作室）学习情况检查及考勤系统调查表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研究生培养单位：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在校研究生总人数：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实验室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实验室地点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检查日期、时间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应到研究生人数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实到实验室研究生人数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学习情况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（学习、上网、视频）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实到率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是否进行考勤管理（使用指纹系统情况）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合计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right"/>
        <w:rPr>
          <w:sz w:val="24"/>
        </w:rPr>
      </w:pPr>
      <w:r>
        <w:rPr>
          <w:rFonts w:hint="eastAsia"/>
          <w:sz w:val="24"/>
        </w:rPr>
        <w:t>研究生院制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4E8C"/>
    <w:rsid w:val="11E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2019-02-24T06:08:00Z</dcterms:created>
  <dc:creator>宁珊</dc:creator>
  <cp:lastModifiedBy>宁珊</cp:lastModifiedBy>
  <dcterms:modified xsi:type="dcterms:W3CDTF">2019-02-24T06:13:14Z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