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83E" w:rsidRDefault="000D083E" w:rsidP="000D083E">
      <w:pPr>
        <w:adjustRightInd w:val="0"/>
        <w:spacing w:line="760" w:lineRule="exact"/>
        <w:rPr>
          <w:rFonts w:ascii="仿宋_GB2312" w:eastAsia="仿宋_GB2312" w:hAnsi="华文中宋" w:hint="eastAsia"/>
          <w:bCs/>
          <w:sz w:val="32"/>
          <w:szCs w:val="32"/>
        </w:rPr>
      </w:pPr>
      <w:r>
        <w:rPr>
          <w:rFonts w:ascii="仿宋_GB2312" w:eastAsia="仿宋_GB2312" w:hAnsi="华文中宋" w:hint="eastAsia"/>
          <w:bCs/>
          <w:sz w:val="32"/>
          <w:szCs w:val="32"/>
        </w:rPr>
        <w:t>附件1：</w:t>
      </w:r>
    </w:p>
    <w:p w:rsidR="000D083E" w:rsidRDefault="000D083E" w:rsidP="000D083E">
      <w:pPr>
        <w:adjustRightInd w:val="0"/>
        <w:spacing w:line="760" w:lineRule="exact"/>
        <w:jc w:val="center"/>
        <w:rPr>
          <w:rFonts w:ascii="方正小标宋_GBK" w:eastAsia="方正小标宋_GBK" w:hAnsi="华文中宋" w:hint="eastAsia"/>
          <w:bCs/>
          <w:sz w:val="44"/>
          <w:szCs w:val="44"/>
        </w:rPr>
      </w:pPr>
      <w:r>
        <w:rPr>
          <w:rFonts w:ascii="方正小标宋_GBK" w:eastAsia="方正小标宋_GBK" w:hAnsi="华文中宋" w:hint="eastAsia"/>
          <w:bCs/>
          <w:sz w:val="44"/>
          <w:szCs w:val="44"/>
        </w:rPr>
        <w:t>昆明理工大学</w:t>
      </w:r>
      <w:bookmarkStart w:id="0" w:name="OLE_LINK1"/>
      <w:r>
        <w:rPr>
          <w:rFonts w:ascii="方正小标宋_GBK" w:eastAsia="方正小标宋_GBK" w:hAnsi="华文中宋" w:hint="eastAsia"/>
          <w:bCs/>
          <w:sz w:val="44"/>
          <w:szCs w:val="44"/>
        </w:rPr>
        <w:t>研究生</w:t>
      </w:r>
    </w:p>
    <w:p w:rsidR="000D083E" w:rsidRDefault="000D083E" w:rsidP="000D083E">
      <w:pPr>
        <w:adjustRightInd w:val="0"/>
        <w:spacing w:line="760" w:lineRule="exact"/>
        <w:jc w:val="center"/>
        <w:rPr>
          <w:rFonts w:ascii="方正小标宋_GBK" w:eastAsia="方正小标宋_GBK" w:hint="eastAsia"/>
          <w:sz w:val="44"/>
          <w:szCs w:val="44"/>
        </w:rPr>
      </w:pPr>
      <w:r>
        <w:rPr>
          <w:rFonts w:ascii="方正小标宋_GBK" w:eastAsia="方正小标宋_GBK" w:hAnsi="华文中宋" w:hint="eastAsia"/>
          <w:bCs/>
          <w:sz w:val="44"/>
          <w:szCs w:val="44"/>
        </w:rPr>
        <w:t>科学研究与国际交流项目实施办法</w:t>
      </w:r>
      <w:bookmarkEnd w:id="0"/>
      <w:r>
        <w:rPr>
          <w:rFonts w:ascii="方正小标宋_GBK" w:eastAsia="方正小标宋_GBK" w:hint="eastAsia"/>
          <w:sz w:val="44"/>
          <w:szCs w:val="44"/>
        </w:rPr>
        <w:t>（试行）</w:t>
      </w:r>
    </w:p>
    <w:p w:rsidR="000D083E" w:rsidRDefault="000D083E" w:rsidP="000D083E">
      <w:pPr>
        <w:adjustRightInd w:val="0"/>
        <w:spacing w:line="480" w:lineRule="exact"/>
        <w:jc w:val="center"/>
        <w:rPr>
          <w:rFonts w:ascii="仿宋_GB2312" w:eastAsia="仿宋_GB2312" w:hint="eastAsia"/>
          <w:b/>
          <w:bCs/>
          <w:sz w:val="32"/>
          <w:szCs w:val="32"/>
        </w:rPr>
      </w:pPr>
      <w:r>
        <w:rPr>
          <w:rFonts w:eastAsia="仿宋_GB2312" w:hint="eastAsia"/>
          <w:sz w:val="32"/>
        </w:rPr>
        <w:t>昆理工大校教字</w:t>
      </w:r>
      <w:r>
        <w:rPr>
          <w:rFonts w:ascii="仿宋_GB2312" w:eastAsia="仿宋_GB2312" w:hint="eastAsia"/>
          <w:sz w:val="32"/>
        </w:rPr>
        <w:t>〔</w:t>
      </w:r>
      <w:r>
        <w:rPr>
          <w:rFonts w:ascii="仿宋_GB2312" w:eastAsia="仿宋_GB2312"/>
          <w:sz w:val="32"/>
        </w:rPr>
        <w:t>201</w:t>
      </w:r>
      <w:r>
        <w:rPr>
          <w:rFonts w:ascii="仿宋_GB2312" w:eastAsia="仿宋_GB2312" w:hint="eastAsia"/>
          <w:sz w:val="32"/>
        </w:rPr>
        <w:t>4〕82号</w:t>
      </w:r>
    </w:p>
    <w:p w:rsidR="000D083E" w:rsidRDefault="000D083E" w:rsidP="000D083E">
      <w:pPr>
        <w:adjustRightInd w:val="0"/>
        <w:snapToGrid w:val="0"/>
        <w:spacing w:line="520" w:lineRule="exact"/>
        <w:jc w:val="center"/>
        <w:rPr>
          <w:rFonts w:ascii="方正黑体_GBK" w:eastAsia="方正黑体_GBK" w:hAnsi="宋体" w:cs="方正黑体_GBK" w:hint="eastAsia"/>
          <w:kern w:val="0"/>
          <w:sz w:val="32"/>
          <w:szCs w:val="32"/>
        </w:rPr>
      </w:pPr>
      <w:r>
        <w:rPr>
          <w:rFonts w:ascii="方正黑体_GBK" w:eastAsia="方正黑体_GBK" w:hAnsi="宋体" w:cs="方正黑体_GBK" w:hint="eastAsia"/>
          <w:kern w:val="0"/>
          <w:sz w:val="32"/>
          <w:szCs w:val="32"/>
        </w:rPr>
        <w:t>第一章  总 则</w:t>
      </w:r>
    </w:p>
    <w:p w:rsidR="000D083E" w:rsidRDefault="000D083E" w:rsidP="000D083E">
      <w:pPr>
        <w:ind w:firstLineChars="196" w:firstLine="630"/>
        <w:rPr>
          <w:rFonts w:ascii="仿宋_GB2312" w:eastAsia="仿宋_GB2312"/>
          <w:sz w:val="32"/>
          <w:szCs w:val="32"/>
        </w:rPr>
      </w:pPr>
      <w:r>
        <w:rPr>
          <w:rFonts w:ascii="仿宋_GB2312" w:eastAsia="仿宋_GB2312" w:hint="eastAsia"/>
          <w:b/>
          <w:sz w:val="32"/>
          <w:szCs w:val="32"/>
        </w:rPr>
        <w:t>第一条</w:t>
      </w:r>
      <w:r>
        <w:rPr>
          <w:rFonts w:ascii="仿宋_GB2312" w:eastAsia="仿宋_GB2312" w:hint="eastAsia"/>
          <w:sz w:val="32"/>
          <w:szCs w:val="32"/>
        </w:rPr>
        <w:t xml:space="preserve"> 为加强研究生创新意识和创新能力的培养，鼓励在校研究生参加研究生国际学术交流与访学，提升研究生的学术能力和实践能力，根据《</w:t>
      </w:r>
      <w:bookmarkStart w:id="1" w:name="_Toc383439946"/>
      <w:bookmarkStart w:id="2" w:name="_Toc383521728"/>
      <w:bookmarkStart w:id="3" w:name="_Toc383599103"/>
      <w:r>
        <w:rPr>
          <w:rFonts w:ascii="仿宋_GB2312" w:eastAsia="仿宋_GB2312" w:hint="eastAsia"/>
          <w:sz w:val="32"/>
          <w:szCs w:val="32"/>
        </w:rPr>
        <w:t>昆明理工大学研究生教育综合改革与质量提升计划实施意见</w:t>
      </w:r>
      <w:bookmarkEnd w:id="1"/>
      <w:bookmarkEnd w:id="2"/>
      <w:bookmarkEnd w:id="3"/>
      <w:r>
        <w:rPr>
          <w:rFonts w:ascii="仿宋_GB2312" w:eastAsia="仿宋_GB2312" w:hint="eastAsia"/>
          <w:sz w:val="32"/>
          <w:szCs w:val="32"/>
        </w:rPr>
        <w:t>》文件精神，学校决定启动研究生科学研究与国际交流项目，为保证项目顺利实施，结合学校实际，特制定本实施办法。</w:t>
      </w:r>
    </w:p>
    <w:p w:rsidR="000D083E" w:rsidRDefault="000D083E" w:rsidP="000D083E">
      <w:pPr>
        <w:ind w:firstLineChars="196" w:firstLine="630"/>
        <w:rPr>
          <w:rFonts w:ascii="仿宋_GB2312" w:eastAsia="仿宋_GB2312" w:hint="eastAsia"/>
          <w:kern w:val="0"/>
          <w:sz w:val="32"/>
          <w:szCs w:val="32"/>
        </w:rPr>
      </w:pPr>
      <w:r>
        <w:rPr>
          <w:rFonts w:ascii="仿宋_GB2312" w:eastAsia="仿宋_GB2312" w:hint="eastAsia"/>
          <w:b/>
          <w:sz w:val="32"/>
          <w:szCs w:val="32"/>
        </w:rPr>
        <w:t>第二条</w:t>
      </w:r>
      <w:r>
        <w:rPr>
          <w:rFonts w:ascii="仿宋_GB2312" w:eastAsia="仿宋_GB2312" w:hint="eastAsia"/>
          <w:sz w:val="32"/>
          <w:szCs w:val="32"/>
        </w:rPr>
        <w:t xml:space="preserve"> 通过实施研究生科学研究与国际交流项目</w:t>
      </w:r>
      <w:r>
        <w:rPr>
          <w:rFonts w:ascii="仿宋_GB2312" w:eastAsia="仿宋_GB2312" w:hAnsi="宋体" w:cs="宋体" w:hint="eastAsia"/>
          <w:color w:val="000000"/>
          <w:kern w:val="0"/>
          <w:sz w:val="32"/>
          <w:szCs w:val="32"/>
        </w:rPr>
        <w:t>资助研究生发表高水平学术论文、参加国外高水平学术会议和</w:t>
      </w:r>
      <w:r>
        <w:rPr>
          <w:rFonts w:ascii="仿宋_GB2312" w:eastAsia="仿宋_GB2312" w:hint="eastAsia"/>
          <w:kern w:val="0"/>
          <w:sz w:val="32"/>
          <w:szCs w:val="32"/>
        </w:rPr>
        <w:t>出境出国访学</w:t>
      </w:r>
      <w:r>
        <w:rPr>
          <w:rFonts w:ascii="仿宋_GB2312" w:eastAsia="仿宋_GB2312" w:hint="eastAsia"/>
          <w:sz w:val="32"/>
          <w:szCs w:val="32"/>
        </w:rPr>
        <w:t>等活动，</w:t>
      </w:r>
      <w:r>
        <w:rPr>
          <w:rFonts w:ascii="仿宋_GB2312" w:eastAsia="仿宋_GB2312"/>
          <w:sz w:val="32"/>
          <w:szCs w:val="32"/>
        </w:rPr>
        <w:t>深入探索新形势下研究生教育规律</w:t>
      </w:r>
      <w:r>
        <w:rPr>
          <w:rFonts w:ascii="仿宋_GB2312" w:eastAsia="仿宋_GB2312" w:hint="eastAsia"/>
          <w:sz w:val="32"/>
          <w:szCs w:val="32"/>
        </w:rPr>
        <w:t>、</w:t>
      </w:r>
      <w:r>
        <w:rPr>
          <w:rFonts w:ascii="仿宋_GB2312" w:eastAsia="仿宋_GB2312"/>
          <w:sz w:val="32"/>
          <w:szCs w:val="32"/>
        </w:rPr>
        <w:t>深化推进</w:t>
      </w:r>
      <w:r>
        <w:rPr>
          <w:rFonts w:ascii="仿宋_GB2312" w:eastAsia="仿宋_GB2312" w:hint="eastAsia"/>
          <w:sz w:val="32"/>
          <w:szCs w:val="32"/>
        </w:rPr>
        <w:t>研究生教育综合</w:t>
      </w:r>
      <w:r>
        <w:rPr>
          <w:rFonts w:ascii="仿宋_GB2312" w:eastAsia="仿宋_GB2312"/>
          <w:sz w:val="32"/>
          <w:szCs w:val="32"/>
        </w:rPr>
        <w:t>改革；</w:t>
      </w:r>
      <w:r>
        <w:rPr>
          <w:rFonts w:ascii="仿宋_GB2312" w:eastAsia="仿宋_GB2312" w:hint="eastAsia"/>
          <w:sz w:val="32"/>
          <w:szCs w:val="32"/>
        </w:rPr>
        <w:t>以点带面驱动</w:t>
      </w:r>
      <w:r>
        <w:rPr>
          <w:rFonts w:ascii="仿宋_GB2312" w:eastAsia="仿宋_GB2312" w:hint="eastAsia"/>
          <w:kern w:val="0"/>
          <w:sz w:val="32"/>
          <w:szCs w:val="32"/>
        </w:rPr>
        <w:t>国际合作办学，推进双边或多边学分、学位互认工作。</w:t>
      </w:r>
    </w:p>
    <w:p w:rsidR="000D083E" w:rsidRDefault="000D083E" w:rsidP="000D083E">
      <w:pPr>
        <w:widowControl/>
        <w:spacing w:beforeLines="50" w:afterLines="50" w:line="520" w:lineRule="exact"/>
        <w:ind w:firstLineChars="910" w:firstLine="2912"/>
        <w:jc w:val="left"/>
        <w:rPr>
          <w:rFonts w:ascii="方正黑体_GBK" w:eastAsia="方正黑体_GBK" w:hAnsi="宋体" w:cs="方正黑体_GBK" w:hint="eastAsia"/>
          <w:kern w:val="0"/>
          <w:sz w:val="32"/>
          <w:szCs w:val="32"/>
        </w:rPr>
      </w:pPr>
      <w:r>
        <w:rPr>
          <w:rFonts w:ascii="方正黑体_GBK" w:eastAsia="方正黑体_GBK" w:hAnsi="宋体" w:cs="方正黑体_GBK" w:hint="eastAsia"/>
          <w:kern w:val="0"/>
          <w:sz w:val="32"/>
          <w:szCs w:val="32"/>
        </w:rPr>
        <w:t>第二章 项目设置</w:t>
      </w:r>
    </w:p>
    <w:p w:rsidR="000D083E" w:rsidRDefault="000D083E" w:rsidP="000D083E">
      <w:pPr>
        <w:ind w:firstLineChars="196" w:firstLine="630"/>
        <w:rPr>
          <w:rFonts w:ascii="仿宋_GB2312" w:eastAsia="仿宋_GB2312" w:hint="eastAsia"/>
          <w:sz w:val="32"/>
          <w:szCs w:val="32"/>
        </w:rPr>
      </w:pPr>
      <w:r>
        <w:rPr>
          <w:rFonts w:ascii="仿宋_GB2312" w:eastAsia="仿宋_GB2312" w:hint="eastAsia"/>
          <w:b/>
          <w:sz w:val="32"/>
          <w:szCs w:val="32"/>
        </w:rPr>
        <w:t>第三条</w:t>
      </w:r>
      <w:r>
        <w:rPr>
          <w:rFonts w:ascii="仿宋_GB2312" w:eastAsia="仿宋_GB2312" w:hint="eastAsia"/>
          <w:sz w:val="32"/>
          <w:szCs w:val="32"/>
        </w:rPr>
        <w:t xml:space="preserve"> 研究生科学研究与国际交流项目分为学术论文、学术会议、出国访学3种类型： </w:t>
      </w:r>
    </w:p>
    <w:p w:rsidR="000D083E" w:rsidRDefault="000D083E" w:rsidP="000D083E">
      <w:pPr>
        <w:ind w:firstLineChars="196" w:firstLine="627"/>
        <w:rPr>
          <w:rFonts w:ascii="仿宋_GB2312" w:eastAsia="仿宋_GB2312" w:hint="eastAsia"/>
          <w:sz w:val="32"/>
          <w:szCs w:val="32"/>
        </w:rPr>
      </w:pPr>
      <w:r>
        <w:rPr>
          <w:rFonts w:ascii="仿宋_GB2312" w:eastAsia="仿宋_GB2312" w:hint="eastAsia"/>
          <w:sz w:val="32"/>
          <w:szCs w:val="32"/>
        </w:rPr>
        <w:t>高水平学术论文项目：资助选题有重要意义和价值，在理论和方法上有创新，在本学科领域内重要学术期刊上发表</w:t>
      </w:r>
      <w:r>
        <w:rPr>
          <w:rFonts w:ascii="仿宋_GB2312" w:eastAsia="仿宋_GB2312" w:hint="eastAsia"/>
          <w:sz w:val="32"/>
          <w:szCs w:val="32"/>
        </w:rPr>
        <w:lastRenderedPageBreak/>
        <w:t>的论文。</w:t>
      </w:r>
    </w:p>
    <w:p w:rsidR="000D083E" w:rsidRDefault="000D083E" w:rsidP="000D083E">
      <w:pPr>
        <w:ind w:firstLineChars="196" w:firstLine="627"/>
        <w:rPr>
          <w:rFonts w:ascii="仿宋_GB2312" w:eastAsia="仿宋_GB2312" w:hint="eastAsia"/>
          <w:sz w:val="32"/>
          <w:szCs w:val="32"/>
        </w:rPr>
      </w:pPr>
      <w:r>
        <w:rPr>
          <w:rFonts w:ascii="仿宋_GB2312" w:eastAsia="仿宋_GB2312" w:hint="eastAsia"/>
          <w:sz w:val="32"/>
          <w:szCs w:val="32"/>
        </w:rPr>
        <w:t>高端学术会议项目：资助研究生参加在国际上有影响的高水平学术会议并作报告。</w:t>
      </w:r>
    </w:p>
    <w:p w:rsidR="000D083E" w:rsidRDefault="000D083E" w:rsidP="000D083E">
      <w:pPr>
        <w:ind w:firstLineChars="196" w:firstLine="627"/>
        <w:rPr>
          <w:rFonts w:ascii="仿宋_GB2312" w:eastAsia="仿宋_GB2312" w:hint="eastAsia"/>
          <w:sz w:val="32"/>
          <w:szCs w:val="32"/>
        </w:rPr>
      </w:pPr>
      <w:r>
        <w:rPr>
          <w:rFonts w:ascii="仿宋_GB2312" w:eastAsia="仿宋_GB2312" w:hint="eastAsia"/>
          <w:sz w:val="32"/>
          <w:szCs w:val="32"/>
        </w:rPr>
        <w:t>出境出国访学项目：资助研究生参加国外知名高校或研究机构短期访学、联合培养项目。</w:t>
      </w:r>
    </w:p>
    <w:p w:rsidR="000D083E" w:rsidRDefault="000D083E" w:rsidP="000D083E">
      <w:pPr>
        <w:ind w:firstLineChars="196" w:firstLine="630"/>
        <w:rPr>
          <w:rFonts w:ascii="仿宋_GB2312" w:eastAsia="仿宋_GB2312" w:hint="eastAsia"/>
          <w:sz w:val="32"/>
          <w:szCs w:val="32"/>
        </w:rPr>
      </w:pPr>
      <w:r>
        <w:rPr>
          <w:rFonts w:ascii="仿宋_GB2312" w:eastAsia="仿宋_GB2312" w:hint="eastAsia"/>
          <w:b/>
          <w:sz w:val="32"/>
          <w:szCs w:val="32"/>
        </w:rPr>
        <w:t>第四条</w:t>
      </w:r>
      <w:r>
        <w:rPr>
          <w:rFonts w:ascii="仿宋_GB2312" w:eastAsia="仿宋_GB2312" w:hint="eastAsia"/>
          <w:sz w:val="32"/>
          <w:szCs w:val="32"/>
        </w:rPr>
        <w:t xml:space="preserve"> 项目资助额度和每年设置的项目数量分别为：</w:t>
      </w:r>
    </w:p>
    <w:p w:rsidR="000D083E" w:rsidRDefault="000D083E" w:rsidP="000D083E">
      <w:pPr>
        <w:ind w:firstLineChars="196" w:firstLine="627"/>
        <w:rPr>
          <w:rFonts w:ascii="仿宋_GB2312" w:eastAsia="仿宋_GB2312" w:hint="eastAsia"/>
          <w:sz w:val="32"/>
          <w:szCs w:val="32"/>
        </w:rPr>
      </w:pPr>
      <w:r>
        <w:rPr>
          <w:rFonts w:ascii="仿宋_GB2312" w:eastAsia="仿宋_GB2312" w:hint="eastAsia"/>
          <w:sz w:val="32"/>
          <w:szCs w:val="32"/>
        </w:rPr>
        <w:t>高水平学术论文项目：1万元/项，每年设置10项；</w:t>
      </w:r>
    </w:p>
    <w:p w:rsidR="000D083E" w:rsidRDefault="000D083E" w:rsidP="000D083E">
      <w:pPr>
        <w:ind w:firstLineChars="196" w:firstLine="627"/>
        <w:rPr>
          <w:rFonts w:ascii="仿宋_GB2312" w:eastAsia="仿宋_GB2312" w:hint="eastAsia"/>
          <w:sz w:val="32"/>
          <w:szCs w:val="32"/>
        </w:rPr>
      </w:pPr>
      <w:r>
        <w:rPr>
          <w:rFonts w:ascii="仿宋_GB2312" w:eastAsia="仿宋_GB2312" w:hint="eastAsia"/>
          <w:sz w:val="32"/>
          <w:szCs w:val="32"/>
        </w:rPr>
        <w:t>高端学术会议项目：1万元/项，每年设置10项；</w:t>
      </w:r>
    </w:p>
    <w:p w:rsidR="000D083E" w:rsidRDefault="000D083E" w:rsidP="000D083E">
      <w:pPr>
        <w:ind w:firstLineChars="196" w:firstLine="627"/>
        <w:rPr>
          <w:rFonts w:ascii="仿宋_GB2312" w:eastAsia="仿宋_GB2312" w:hint="eastAsia"/>
          <w:sz w:val="32"/>
          <w:szCs w:val="32"/>
        </w:rPr>
      </w:pPr>
      <w:r>
        <w:rPr>
          <w:rFonts w:ascii="仿宋_GB2312" w:eastAsia="仿宋_GB2312" w:hint="eastAsia"/>
          <w:sz w:val="32"/>
          <w:szCs w:val="32"/>
        </w:rPr>
        <w:t>出境出国访学项目：2万元/项，每年设置15项。</w:t>
      </w:r>
    </w:p>
    <w:p w:rsidR="000D083E" w:rsidRDefault="000D083E" w:rsidP="000D083E">
      <w:pPr>
        <w:ind w:firstLineChars="196" w:firstLine="627"/>
        <w:rPr>
          <w:rFonts w:ascii="仿宋_GB2312" w:eastAsia="仿宋_GB2312" w:hint="eastAsia"/>
          <w:sz w:val="32"/>
          <w:szCs w:val="32"/>
        </w:rPr>
      </w:pPr>
      <w:r>
        <w:rPr>
          <w:rFonts w:ascii="仿宋_GB2312" w:eastAsia="仿宋_GB2312" w:hint="eastAsia"/>
          <w:sz w:val="32"/>
          <w:szCs w:val="32"/>
        </w:rPr>
        <w:t>在保证年资助经费总额不变的情况下，根据项目申报情况，各类项目的数量可进行适当调整。</w:t>
      </w:r>
    </w:p>
    <w:p w:rsidR="000D083E" w:rsidRDefault="000D083E" w:rsidP="000D083E">
      <w:pPr>
        <w:widowControl/>
        <w:spacing w:beforeLines="50" w:afterLines="50" w:line="520" w:lineRule="exact"/>
        <w:ind w:firstLineChars="910" w:firstLine="2912"/>
        <w:jc w:val="left"/>
        <w:rPr>
          <w:rFonts w:ascii="方正黑体_GBK" w:eastAsia="方正黑体_GBK" w:hAnsi="宋体" w:cs="方正黑体_GBK" w:hint="eastAsia"/>
          <w:kern w:val="0"/>
          <w:sz w:val="32"/>
          <w:szCs w:val="32"/>
        </w:rPr>
      </w:pPr>
      <w:r>
        <w:rPr>
          <w:rFonts w:ascii="方正黑体_GBK" w:eastAsia="方正黑体_GBK" w:hAnsi="宋体" w:cs="方正黑体_GBK" w:hint="eastAsia"/>
          <w:kern w:val="0"/>
          <w:sz w:val="32"/>
          <w:szCs w:val="32"/>
        </w:rPr>
        <w:t>第三章 申报遴选</w:t>
      </w:r>
    </w:p>
    <w:p w:rsidR="000D083E" w:rsidRDefault="000D083E" w:rsidP="000D083E">
      <w:pPr>
        <w:ind w:firstLineChars="196" w:firstLine="630"/>
        <w:rPr>
          <w:rFonts w:ascii="仿宋_GB2312" w:eastAsia="仿宋_GB2312" w:hint="eastAsia"/>
          <w:sz w:val="32"/>
          <w:szCs w:val="32"/>
        </w:rPr>
      </w:pPr>
      <w:r>
        <w:rPr>
          <w:rFonts w:ascii="仿宋_GB2312" w:eastAsia="仿宋_GB2312" w:hint="eastAsia"/>
          <w:b/>
          <w:sz w:val="32"/>
          <w:szCs w:val="32"/>
        </w:rPr>
        <w:t xml:space="preserve">第五条 </w:t>
      </w:r>
      <w:r>
        <w:rPr>
          <w:rFonts w:ascii="仿宋_GB2312" w:eastAsia="仿宋_GB2312" w:hint="eastAsia"/>
          <w:sz w:val="32"/>
          <w:szCs w:val="32"/>
        </w:rPr>
        <w:t>研究生科学研究与国际交流项目遴选，按照注重创新、公平公正、择优推荐、宁缺毋滥的原则和自主申报、学院学科推荐、专家评审、学校认定的程序开展实施。</w:t>
      </w:r>
    </w:p>
    <w:p w:rsidR="000D083E" w:rsidRDefault="000D083E" w:rsidP="000D083E">
      <w:pPr>
        <w:ind w:firstLineChars="196" w:firstLine="630"/>
        <w:rPr>
          <w:rFonts w:ascii="仿宋_GB2312" w:eastAsia="仿宋_GB2312" w:hint="eastAsia"/>
          <w:sz w:val="32"/>
          <w:szCs w:val="32"/>
        </w:rPr>
      </w:pPr>
      <w:r>
        <w:rPr>
          <w:rFonts w:ascii="仿宋_GB2312" w:eastAsia="仿宋_GB2312" w:hint="eastAsia"/>
          <w:b/>
          <w:sz w:val="32"/>
          <w:szCs w:val="32"/>
        </w:rPr>
        <w:t xml:space="preserve">第六条 </w:t>
      </w:r>
      <w:r>
        <w:rPr>
          <w:rFonts w:ascii="仿宋_GB2312" w:eastAsia="仿宋_GB2312" w:hint="eastAsia"/>
          <w:sz w:val="32"/>
          <w:szCs w:val="32"/>
        </w:rPr>
        <w:t>研究生科学研究与国际交流项目每年定期组织遴选一次。导师和研究生自主申报项目，学院学位评定分委员会进行初审推荐后，报研究生院，由研究生院聘请专家组成专家组对申请项目进行会议评审论证，择优推荐立项名单，报校长办公会审议，通过审议的项目确定为立项实施的项目。</w:t>
      </w:r>
    </w:p>
    <w:p w:rsidR="000D083E" w:rsidRDefault="000D083E" w:rsidP="000D083E">
      <w:pPr>
        <w:ind w:firstLineChars="196" w:firstLine="630"/>
        <w:rPr>
          <w:rFonts w:ascii="仿宋_GB2312" w:eastAsia="仿宋_GB2312" w:hint="eastAsia"/>
          <w:sz w:val="32"/>
          <w:szCs w:val="32"/>
        </w:rPr>
      </w:pPr>
      <w:r>
        <w:rPr>
          <w:rFonts w:ascii="仿宋_GB2312" w:eastAsia="仿宋_GB2312" w:hint="eastAsia"/>
          <w:b/>
          <w:sz w:val="32"/>
          <w:szCs w:val="32"/>
        </w:rPr>
        <w:t xml:space="preserve">第七条 </w:t>
      </w:r>
      <w:r>
        <w:rPr>
          <w:rFonts w:ascii="仿宋_GB2312" w:eastAsia="仿宋_GB2312" w:hint="eastAsia"/>
          <w:sz w:val="32"/>
          <w:szCs w:val="32"/>
        </w:rPr>
        <w:t>原则上每一年一名导师只能委派自己的一名研究生参加一个项目的申报，每个导师名下受资助的研究生总</w:t>
      </w:r>
      <w:r>
        <w:rPr>
          <w:rFonts w:ascii="仿宋_GB2312" w:eastAsia="仿宋_GB2312" w:hint="eastAsia"/>
          <w:sz w:val="32"/>
          <w:szCs w:val="32"/>
        </w:rPr>
        <w:lastRenderedPageBreak/>
        <w:t>数量原则上不超过3个。</w:t>
      </w:r>
    </w:p>
    <w:p w:rsidR="000D083E" w:rsidRDefault="000D083E" w:rsidP="000D083E">
      <w:pPr>
        <w:adjustRightInd w:val="0"/>
        <w:snapToGrid w:val="0"/>
        <w:spacing w:line="520" w:lineRule="exact"/>
        <w:jc w:val="center"/>
        <w:rPr>
          <w:rFonts w:ascii="方正黑体_GBK" w:eastAsia="方正黑体_GBK" w:hAnsi="宋体" w:cs="方正黑体_GBK" w:hint="eastAsia"/>
          <w:kern w:val="0"/>
          <w:sz w:val="32"/>
          <w:szCs w:val="32"/>
        </w:rPr>
      </w:pPr>
      <w:r>
        <w:rPr>
          <w:rFonts w:ascii="方正黑体_GBK" w:eastAsia="方正黑体_GBK" w:hAnsi="宋体" w:cs="方正黑体_GBK" w:hint="eastAsia"/>
          <w:kern w:val="0"/>
          <w:sz w:val="32"/>
          <w:szCs w:val="32"/>
        </w:rPr>
        <w:t>第四章 申报条件</w:t>
      </w:r>
    </w:p>
    <w:p w:rsidR="000D083E" w:rsidRDefault="000D083E" w:rsidP="000D083E">
      <w:pPr>
        <w:ind w:firstLineChars="196" w:firstLine="630"/>
        <w:rPr>
          <w:rFonts w:ascii="仿宋_GB2312" w:eastAsia="仿宋_GB2312" w:hint="eastAsia"/>
          <w:b/>
          <w:sz w:val="32"/>
          <w:szCs w:val="32"/>
        </w:rPr>
      </w:pPr>
      <w:r>
        <w:rPr>
          <w:rFonts w:ascii="仿宋_GB2312" w:eastAsia="仿宋_GB2312" w:hint="eastAsia"/>
          <w:b/>
          <w:sz w:val="32"/>
          <w:szCs w:val="32"/>
        </w:rPr>
        <w:t xml:space="preserve">第八条 </w:t>
      </w:r>
      <w:r>
        <w:rPr>
          <w:rFonts w:ascii="仿宋_GB2312" w:eastAsia="仿宋_GB2312" w:hint="eastAsia"/>
          <w:sz w:val="32"/>
          <w:szCs w:val="32"/>
        </w:rPr>
        <w:t>申请参评科学研究与国际交流项目的研究生应在思想道德、学习科研、创新能力、综合素质等方面表现突出，身心健康，品学兼优。申报年度内无违法或违反校纪校规行为。</w:t>
      </w:r>
    </w:p>
    <w:p w:rsidR="000D083E" w:rsidRDefault="000D083E" w:rsidP="000D083E">
      <w:pPr>
        <w:ind w:firstLineChars="196" w:firstLine="630"/>
        <w:rPr>
          <w:rFonts w:ascii="仿宋_GB2312" w:eastAsia="仿宋_GB2312" w:hint="eastAsia"/>
          <w:sz w:val="32"/>
          <w:szCs w:val="32"/>
        </w:rPr>
      </w:pPr>
      <w:r>
        <w:rPr>
          <w:rFonts w:ascii="仿宋_GB2312" w:eastAsia="仿宋_GB2312" w:hint="eastAsia"/>
          <w:b/>
          <w:sz w:val="32"/>
          <w:szCs w:val="32"/>
        </w:rPr>
        <w:t xml:space="preserve">第九条 </w:t>
      </w:r>
      <w:r>
        <w:rPr>
          <w:rFonts w:ascii="仿宋_GB2312" w:eastAsia="仿宋_GB2312" w:hint="eastAsia"/>
          <w:sz w:val="32"/>
          <w:szCs w:val="32"/>
        </w:rPr>
        <w:t>申报高水平学术论文项目须满足的条件：成果发表在国内外本学科领域高级别的学术期刊上。学术期刊的名称在项目申报书中界定，学术期刊的级别在项目申报时由申报人自行举证。</w:t>
      </w:r>
    </w:p>
    <w:p w:rsidR="000D083E" w:rsidRDefault="000D083E" w:rsidP="000D083E">
      <w:pPr>
        <w:ind w:firstLineChars="196" w:firstLine="630"/>
        <w:rPr>
          <w:rFonts w:ascii="仿宋_GB2312" w:eastAsia="仿宋_GB2312" w:hint="eastAsia"/>
          <w:sz w:val="32"/>
          <w:szCs w:val="32"/>
        </w:rPr>
      </w:pPr>
      <w:r>
        <w:rPr>
          <w:rFonts w:ascii="仿宋_GB2312" w:eastAsia="仿宋_GB2312" w:hint="eastAsia"/>
          <w:b/>
          <w:sz w:val="32"/>
          <w:szCs w:val="32"/>
        </w:rPr>
        <w:t xml:space="preserve">第十条 </w:t>
      </w:r>
      <w:r>
        <w:rPr>
          <w:rFonts w:ascii="仿宋_GB2312" w:eastAsia="仿宋_GB2312" w:hint="eastAsia"/>
          <w:sz w:val="32"/>
          <w:szCs w:val="32"/>
        </w:rPr>
        <w:t>申报高端学术会议项目须满足的条件：参加了国际高水平学术会议并作学术报告，学术会议的级别在项目申请书中进行说明和自行举证。</w:t>
      </w:r>
    </w:p>
    <w:p w:rsidR="000D083E" w:rsidRDefault="000D083E" w:rsidP="000D083E">
      <w:pPr>
        <w:ind w:firstLineChars="196" w:firstLine="630"/>
        <w:rPr>
          <w:rFonts w:ascii="仿宋_GB2312" w:eastAsia="仿宋_GB2312" w:hint="eastAsia"/>
          <w:sz w:val="32"/>
          <w:szCs w:val="32"/>
        </w:rPr>
      </w:pPr>
      <w:r>
        <w:rPr>
          <w:rFonts w:ascii="仿宋_GB2312" w:eastAsia="仿宋_GB2312" w:hint="eastAsia"/>
          <w:b/>
          <w:sz w:val="32"/>
          <w:szCs w:val="32"/>
        </w:rPr>
        <w:t xml:space="preserve">第十一条 </w:t>
      </w:r>
      <w:r>
        <w:rPr>
          <w:rFonts w:ascii="仿宋_GB2312" w:eastAsia="仿宋_GB2312" w:hint="eastAsia"/>
          <w:sz w:val="32"/>
          <w:szCs w:val="32"/>
        </w:rPr>
        <w:t>申报出境出国访学项目须满足的条件：参加短期出国</w:t>
      </w:r>
      <w:r>
        <w:rPr>
          <w:rFonts w:ascii="仿宋_GB2312" w:eastAsia="仿宋_GB2312"/>
          <w:sz w:val="32"/>
          <w:szCs w:val="32"/>
        </w:rPr>
        <w:t>访学、</w:t>
      </w:r>
      <w:r>
        <w:rPr>
          <w:rFonts w:ascii="仿宋_GB2312" w:eastAsia="仿宋_GB2312" w:hint="eastAsia"/>
          <w:sz w:val="32"/>
          <w:szCs w:val="32"/>
        </w:rPr>
        <w:t>联合培养项目等。出境出国访学项目须同时提交</w:t>
      </w:r>
      <w:r>
        <w:rPr>
          <w:rFonts w:ascii="仿宋_GB2312" w:eastAsia="仿宋_GB2312"/>
          <w:sz w:val="32"/>
          <w:szCs w:val="32"/>
        </w:rPr>
        <w:t>国外院校的正式邀请函（邀请函应使用拟留学单位专用信纸打印，并由主管部门负责人/导师签字，</w:t>
      </w:r>
      <w:r>
        <w:rPr>
          <w:rFonts w:ascii="仿宋_GB2312" w:eastAsia="仿宋_GB2312" w:hint="eastAsia"/>
          <w:sz w:val="32"/>
          <w:szCs w:val="32"/>
        </w:rPr>
        <w:t>其</w:t>
      </w:r>
      <w:r>
        <w:rPr>
          <w:rFonts w:ascii="仿宋_GB2312" w:eastAsia="仿宋_GB2312"/>
          <w:sz w:val="32"/>
          <w:szCs w:val="32"/>
        </w:rPr>
        <w:t>内容应</w:t>
      </w:r>
      <w:r>
        <w:rPr>
          <w:rFonts w:ascii="仿宋_GB2312" w:eastAsia="仿宋_GB2312" w:hint="eastAsia"/>
          <w:sz w:val="32"/>
          <w:szCs w:val="32"/>
        </w:rPr>
        <w:t>涵盖</w:t>
      </w:r>
      <w:r>
        <w:rPr>
          <w:rFonts w:ascii="仿宋_GB2312" w:eastAsia="仿宋_GB2312"/>
          <w:sz w:val="32"/>
          <w:szCs w:val="32"/>
        </w:rPr>
        <w:t>访学</w:t>
      </w:r>
      <w:r>
        <w:rPr>
          <w:rFonts w:ascii="仿宋_GB2312" w:eastAsia="仿宋_GB2312" w:hint="eastAsia"/>
          <w:sz w:val="32"/>
          <w:szCs w:val="32"/>
        </w:rPr>
        <w:t>目的、访学</w:t>
      </w:r>
      <w:r>
        <w:rPr>
          <w:rFonts w:ascii="仿宋_GB2312" w:eastAsia="仿宋_GB2312"/>
          <w:sz w:val="32"/>
          <w:szCs w:val="32"/>
        </w:rPr>
        <w:t>起止日期、研究课题</w:t>
      </w:r>
      <w:r>
        <w:rPr>
          <w:rFonts w:ascii="仿宋_GB2312" w:eastAsia="仿宋_GB2312" w:hint="eastAsia"/>
          <w:sz w:val="32"/>
          <w:szCs w:val="32"/>
        </w:rPr>
        <w:t>及其与研究</w:t>
      </w:r>
      <w:r>
        <w:rPr>
          <w:rFonts w:ascii="仿宋_GB2312" w:eastAsia="仿宋_GB2312"/>
          <w:sz w:val="32"/>
          <w:szCs w:val="32"/>
        </w:rPr>
        <w:t>生学位论文的关系、对方导师和</w:t>
      </w:r>
      <w:r>
        <w:rPr>
          <w:rFonts w:ascii="仿宋_GB2312" w:eastAsia="仿宋_GB2312" w:hint="eastAsia"/>
          <w:sz w:val="32"/>
          <w:szCs w:val="32"/>
        </w:rPr>
        <w:t>校内</w:t>
      </w:r>
      <w:r>
        <w:rPr>
          <w:rFonts w:ascii="仿宋_GB2312" w:eastAsia="仿宋_GB2312"/>
          <w:sz w:val="32"/>
          <w:szCs w:val="32"/>
        </w:rPr>
        <w:t>导师的科研合作、外语水平是否符合留学单位的要求</w:t>
      </w:r>
      <w:r>
        <w:rPr>
          <w:rFonts w:ascii="仿宋_GB2312" w:eastAsia="仿宋_GB2312" w:hint="eastAsia"/>
          <w:sz w:val="32"/>
          <w:szCs w:val="32"/>
        </w:rPr>
        <w:t>等</w:t>
      </w:r>
      <w:r>
        <w:rPr>
          <w:rFonts w:ascii="仿宋_GB2312" w:eastAsia="仿宋_GB2312"/>
          <w:sz w:val="32"/>
          <w:szCs w:val="32"/>
        </w:rPr>
        <w:t>）</w:t>
      </w:r>
      <w:r>
        <w:rPr>
          <w:rFonts w:ascii="仿宋_GB2312" w:eastAsia="仿宋_GB2312" w:hint="eastAsia"/>
          <w:sz w:val="32"/>
          <w:szCs w:val="32"/>
        </w:rPr>
        <w:t>及相关佐证材料。</w:t>
      </w:r>
    </w:p>
    <w:p w:rsidR="000D083E" w:rsidRDefault="000D083E" w:rsidP="000D083E">
      <w:pPr>
        <w:widowControl/>
        <w:spacing w:beforeLines="50" w:afterLines="50" w:line="520" w:lineRule="exact"/>
        <w:ind w:firstLineChars="910" w:firstLine="2912"/>
        <w:jc w:val="left"/>
        <w:rPr>
          <w:rFonts w:ascii="方正黑体_GBK" w:eastAsia="方正黑体_GBK" w:hAnsi="宋体" w:cs="方正黑体_GBK"/>
          <w:kern w:val="0"/>
          <w:sz w:val="32"/>
          <w:szCs w:val="32"/>
        </w:rPr>
      </w:pPr>
      <w:r>
        <w:rPr>
          <w:rFonts w:ascii="方正黑体_GBK" w:eastAsia="方正黑体_GBK" w:hAnsi="宋体" w:cs="方正黑体_GBK" w:hint="eastAsia"/>
          <w:kern w:val="0"/>
          <w:sz w:val="32"/>
          <w:szCs w:val="32"/>
        </w:rPr>
        <w:t>第五章</w:t>
      </w:r>
      <w:r>
        <w:rPr>
          <w:rFonts w:ascii="方正黑体_GBK" w:eastAsia="方正黑体_GBK" w:hAnsi="宋体" w:cs="方正黑体_GBK"/>
          <w:kern w:val="0"/>
          <w:sz w:val="32"/>
          <w:szCs w:val="32"/>
        </w:rPr>
        <w:t xml:space="preserve">  </w:t>
      </w:r>
      <w:r>
        <w:rPr>
          <w:rFonts w:ascii="方正黑体_GBK" w:eastAsia="方正黑体_GBK" w:hAnsi="宋体" w:cs="方正黑体_GBK" w:hint="eastAsia"/>
          <w:kern w:val="0"/>
          <w:sz w:val="32"/>
          <w:szCs w:val="32"/>
        </w:rPr>
        <w:t>运行管理</w:t>
      </w:r>
    </w:p>
    <w:p w:rsidR="000D083E" w:rsidRDefault="000D083E" w:rsidP="000D083E">
      <w:pPr>
        <w:ind w:firstLineChars="196" w:firstLine="630"/>
        <w:rPr>
          <w:rFonts w:ascii="仿宋_GB2312" w:eastAsia="仿宋_GB2312" w:hint="eastAsia"/>
          <w:sz w:val="32"/>
          <w:szCs w:val="32"/>
        </w:rPr>
      </w:pPr>
      <w:r>
        <w:rPr>
          <w:rFonts w:ascii="仿宋_GB2312" w:eastAsia="仿宋_GB2312" w:hint="eastAsia"/>
          <w:b/>
          <w:sz w:val="32"/>
          <w:szCs w:val="32"/>
        </w:rPr>
        <w:t xml:space="preserve">第十二条 </w:t>
      </w:r>
      <w:r>
        <w:rPr>
          <w:rFonts w:ascii="仿宋_GB2312" w:eastAsia="仿宋_GB2312" w:hint="eastAsia"/>
          <w:sz w:val="32"/>
          <w:szCs w:val="32"/>
        </w:rPr>
        <w:t>项目负责人由导师和研究生共同组成，但受</w:t>
      </w:r>
      <w:r>
        <w:rPr>
          <w:rFonts w:ascii="仿宋_GB2312" w:eastAsia="仿宋_GB2312" w:hint="eastAsia"/>
          <w:sz w:val="32"/>
          <w:szCs w:val="32"/>
        </w:rPr>
        <w:lastRenderedPageBreak/>
        <w:t>资助项目实行导师负责制。资助经费主要用于学术论文发表的版面费、发表论文产生的实验器材、药品和材料等费用；参加学术会议过程中产生的会务费、差旅费等费用；参加出国访学项目过程中的相关费用。执行过程中所产生的费用由导师和研究生共同签字、研究生院负责人审核批准后报销。</w:t>
      </w:r>
    </w:p>
    <w:p w:rsidR="000D083E" w:rsidRDefault="000D083E" w:rsidP="000D083E">
      <w:pPr>
        <w:ind w:firstLineChars="196" w:firstLine="630"/>
        <w:rPr>
          <w:rFonts w:ascii="仿宋_GB2312" w:eastAsia="仿宋_GB2312" w:hint="eastAsia"/>
          <w:sz w:val="32"/>
          <w:szCs w:val="32"/>
        </w:rPr>
      </w:pPr>
      <w:r>
        <w:rPr>
          <w:rFonts w:ascii="仿宋_GB2312" w:eastAsia="仿宋_GB2312" w:hint="eastAsia"/>
          <w:b/>
          <w:sz w:val="32"/>
          <w:szCs w:val="32"/>
        </w:rPr>
        <w:t xml:space="preserve">第十三条 </w:t>
      </w:r>
      <w:r>
        <w:rPr>
          <w:rFonts w:ascii="仿宋_GB2312" w:eastAsia="仿宋_GB2312" w:hint="eastAsia"/>
          <w:sz w:val="32"/>
          <w:szCs w:val="32"/>
        </w:rPr>
        <w:t>导师根据实际费用开支，项目经费不足时，由导师从其他课题经费中解决；项目经费有结余的，需按照实报实销原则审批报销。</w:t>
      </w:r>
    </w:p>
    <w:p w:rsidR="000D083E" w:rsidRDefault="000D083E" w:rsidP="000D083E">
      <w:pPr>
        <w:ind w:firstLineChars="196" w:firstLine="630"/>
        <w:rPr>
          <w:rFonts w:ascii="仿宋_GB2312" w:eastAsia="仿宋_GB2312" w:hint="eastAsia"/>
          <w:sz w:val="32"/>
          <w:szCs w:val="32"/>
        </w:rPr>
      </w:pPr>
      <w:r>
        <w:rPr>
          <w:rFonts w:ascii="仿宋_GB2312" w:eastAsia="仿宋_GB2312" w:hint="eastAsia"/>
          <w:b/>
          <w:sz w:val="32"/>
          <w:szCs w:val="32"/>
        </w:rPr>
        <w:t xml:space="preserve">第十四条 </w:t>
      </w:r>
      <w:r>
        <w:rPr>
          <w:rFonts w:ascii="仿宋_GB2312" w:eastAsia="仿宋_GB2312" w:hint="eastAsia"/>
          <w:sz w:val="32"/>
          <w:szCs w:val="32"/>
        </w:rPr>
        <w:t>受资助的学术论文、学术会议、出国访学项目完成后，须由导师和研究生共同撰写项目结题材料，包括项目成果总结或从事出国访学活动的心得，作为学校研究生创新教育的宣传材料和创新教育规律总结的基础材料。</w:t>
      </w:r>
    </w:p>
    <w:p w:rsidR="000D083E" w:rsidRDefault="000D083E" w:rsidP="000D083E">
      <w:pPr>
        <w:widowControl/>
        <w:spacing w:beforeLines="50" w:afterLines="50" w:line="520" w:lineRule="exact"/>
        <w:ind w:firstLineChars="910" w:firstLine="2912"/>
        <w:jc w:val="left"/>
        <w:rPr>
          <w:rFonts w:ascii="方正黑体_GBK" w:eastAsia="方正黑体_GBK" w:hAnsi="宋体" w:cs="方正黑体_GBK"/>
          <w:kern w:val="0"/>
          <w:sz w:val="32"/>
          <w:szCs w:val="32"/>
        </w:rPr>
      </w:pPr>
      <w:r>
        <w:rPr>
          <w:rFonts w:ascii="方正黑体_GBK" w:eastAsia="方正黑体_GBK" w:hAnsi="宋体" w:cs="方正黑体_GBK" w:hint="eastAsia"/>
          <w:kern w:val="0"/>
          <w:sz w:val="32"/>
          <w:szCs w:val="32"/>
        </w:rPr>
        <w:t>第六章</w:t>
      </w:r>
      <w:r>
        <w:rPr>
          <w:rFonts w:ascii="方正黑体_GBK" w:eastAsia="方正黑体_GBK" w:hAnsi="宋体" w:cs="方正黑体_GBK"/>
          <w:kern w:val="0"/>
          <w:sz w:val="32"/>
          <w:szCs w:val="32"/>
        </w:rPr>
        <w:t xml:space="preserve">  </w:t>
      </w:r>
      <w:r>
        <w:rPr>
          <w:rFonts w:ascii="方正黑体_GBK" w:eastAsia="方正黑体_GBK" w:hAnsi="宋体" w:cs="方正黑体_GBK" w:hint="eastAsia"/>
          <w:kern w:val="0"/>
          <w:sz w:val="32"/>
          <w:szCs w:val="32"/>
        </w:rPr>
        <w:t>附</w:t>
      </w:r>
      <w:r>
        <w:rPr>
          <w:rFonts w:ascii="方正黑体_GBK" w:eastAsia="方正黑体_GBK" w:hAnsi="宋体" w:cs="方正黑体_GBK"/>
          <w:kern w:val="0"/>
          <w:sz w:val="32"/>
          <w:szCs w:val="32"/>
        </w:rPr>
        <w:t xml:space="preserve"> </w:t>
      </w:r>
      <w:r>
        <w:rPr>
          <w:rFonts w:ascii="方正黑体_GBK" w:eastAsia="方正黑体_GBK" w:hAnsi="宋体" w:cs="方正黑体_GBK" w:hint="eastAsia"/>
          <w:kern w:val="0"/>
          <w:sz w:val="32"/>
          <w:szCs w:val="32"/>
        </w:rPr>
        <w:t>则</w:t>
      </w:r>
    </w:p>
    <w:p w:rsidR="000D083E" w:rsidRDefault="000D083E" w:rsidP="000D083E">
      <w:pPr>
        <w:ind w:firstLineChars="196" w:firstLine="630"/>
        <w:rPr>
          <w:rFonts w:ascii="仿宋_GB2312" w:eastAsia="仿宋_GB2312"/>
          <w:sz w:val="32"/>
          <w:szCs w:val="32"/>
        </w:rPr>
      </w:pPr>
      <w:r>
        <w:rPr>
          <w:rFonts w:ascii="仿宋_GB2312" w:eastAsia="仿宋_GB2312" w:hint="eastAsia"/>
          <w:b/>
          <w:sz w:val="32"/>
          <w:szCs w:val="32"/>
        </w:rPr>
        <w:t xml:space="preserve">第十五条 </w:t>
      </w:r>
      <w:r>
        <w:rPr>
          <w:rFonts w:ascii="仿宋_GB2312" w:eastAsia="仿宋_GB2312" w:hint="eastAsia"/>
          <w:sz w:val="32"/>
          <w:szCs w:val="32"/>
        </w:rPr>
        <w:t>本办法由研究生院负责解释。</w:t>
      </w:r>
    </w:p>
    <w:p w:rsidR="000D083E" w:rsidRDefault="000D083E" w:rsidP="000D083E">
      <w:pPr>
        <w:ind w:firstLineChars="196" w:firstLine="630"/>
        <w:rPr>
          <w:rFonts w:ascii="仿宋_GB2312" w:eastAsia="仿宋_GB2312" w:hint="eastAsia"/>
          <w:sz w:val="32"/>
          <w:szCs w:val="32"/>
        </w:rPr>
      </w:pPr>
      <w:r>
        <w:rPr>
          <w:rFonts w:ascii="仿宋_GB2312" w:eastAsia="仿宋_GB2312" w:hint="eastAsia"/>
          <w:b/>
          <w:sz w:val="32"/>
          <w:szCs w:val="32"/>
        </w:rPr>
        <w:t xml:space="preserve">第十六条 </w:t>
      </w:r>
      <w:r>
        <w:rPr>
          <w:rFonts w:ascii="仿宋_GB2312" w:eastAsia="仿宋_GB2312" w:hint="eastAsia"/>
          <w:sz w:val="32"/>
          <w:szCs w:val="32"/>
        </w:rPr>
        <w:t>本办法自颁布之日起施行。</w:t>
      </w:r>
    </w:p>
    <w:p w:rsidR="000D083E" w:rsidRDefault="000D083E" w:rsidP="000D083E">
      <w:pPr>
        <w:ind w:firstLineChars="196" w:firstLine="627"/>
        <w:rPr>
          <w:rFonts w:ascii="仿宋_GB2312" w:eastAsia="仿宋_GB2312" w:hint="eastAsia"/>
          <w:sz w:val="32"/>
          <w:szCs w:val="32"/>
        </w:rPr>
      </w:pPr>
    </w:p>
    <w:p w:rsidR="000D083E" w:rsidRDefault="000D083E" w:rsidP="000D083E">
      <w:pPr>
        <w:ind w:firstLineChars="196" w:firstLine="627"/>
        <w:rPr>
          <w:rFonts w:ascii="仿宋_GB2312" w:eastAsia="仿宋_GB2312" w:hint="eastAsia"/>
          <w:sz w:val="32"/>
          <w:szCs w:val="32"/>
        </w:rPr>
      </w:pPr>
    </w:p>
    <w:p w:rsidR="000D083E" w:rsidRDefault="000D083E" w:rsidP="000D083E">
      <w:pPr>
        <w:ind w:firstLineChars="196" w:firstLine="627"/>
        <w:rPr>
          <w:rFonts w:ascii="仿宋_GB2312" w:eastAsia="仿宋_GB2312" w:hint="eastAsia"/>
          <w:sz w:val="32"/>
          <w:szCs w:val="32"/>
        </w:rPr>
      </w:pPr>
    </w:p>
    <w:p w:rsidR="000D083E" w:rsidRPr="000D083E" w:rsidRDefault="000D083E" w:rsidP="000D083E">
      <w:pPr>
        <w:ind w:firstLineChars="196" w:firstLine="627"/>
        <w:rPr>
          <w:rFonts w:ascii="仿宋_GB2312" w:eastAsia="仿宋_GB2312" w:hint="eastAsia"/>
          <w:sz w:val="32"/>
          <w:szCs w:val="32"/>
        </w:rPr>
      </w:pPr>
    </w:p>
    <w:p w:rsidR="000D083E" w:rsidRDefault="000D083E" w:rsidP="000D083E">
      <w:pPr>
        <w:spacing w:line="40" w:lineRule="exact"/>
        <w:rPr>
          <w:rFonts w:ascii="仿宋_GB2312" w:eastAsia="仿宋_GB2312" w:hAnsi="宋体" w:cs="宋体" w:hint="eastAsia"/>
          <w:kern w:val="0"/>
          <w:sz w:val="32"/>
          <w:szCs w:val="32"/>
        </w:rPr>
      </w:pPr>
    </w:p>
    <w:p w:rsidR="000D083E" w:rsidRDefault="000D083E" w:rsidP="000D083E">
      <w:pPr>
        <w:spacing w:line="40" w:lineRule="exact"/>
        <w:rPr>
          <w:rFonts w:ascii="仿宋_GB2312" w:eastAsia="仿宋_GB2312" w:hAnsi="宋体" w:cs="宋体" w:hint="eastAsia"/>
          <w:kern w:val="0"/>
          <w:sz w:val="32"/>
          <w:szCs w:val="32"/>
        </w:rPr>
      </w:pPr>
    </w:p>
    <w:p w:rsidR="000D083E" w:rsidRDefault="000D083E" w:rsidP="000D083E">
      <w:pPr>
        <w:spacing w:line="40" w:lineRule="exact"/>
        <w:rPr>
          <w:rFonts w:ascii="仿宋_GB2312" w:eastAsia="仿宋_GB2312" w:hAnsi="宋体" w:cs="宋体" w:hint="eastAsia"/>
          <w:kern w:val="0"/>
          <w:sz w:val="32"/>
          <w:szCs w:val="32"/>
        </w:rPr>
      </w:pPr>
    </w:p>
    <w:p w:rsidR="000D083E" w:rsidRDefault="000D083E" w:rsidP="000D083E">
      <w:pPr>
        <w:spacing w:line="40" w:lineRule="exact"/>
        <w:rPr>
          <w:rFonts w:ascii="仿宋_GB2312" w:eastAsia="仿宋_GB2312" w:hAnsi="宋体" w:cs="宋体" w:hint="eastAsia"/>
          <w:kern w:val="0"/>
          <w:sz w:val="32"/>
          <w:szCs w:val="32"/>
        </w:rPr>
      </w:pPr>
    </w:p>
    <w:p w:rsidR="000D083E" w:rsidRDefault="000D083E" w:rsidP="000D083E">
      <w:pPr>
        <w:spacing w:line="40" w:lineRule="exact"/>
        <w:rPr>
          <w:rFonts w:ascii="仿宋_GB2312" w:eastAsia="仿宋_GB2312" w:hAnsi="宋体" w:cs="宋体" w:hint="eastAsia"/>
          <w:kern w:val="0"/>
          <w:sz w:val="32"/>
          <w:szCs w:val="32"/>
        </w:rPr>
      </w:pPr>
    </w:p>
    <w:p w:rsidR="000D083E" w:rsidRDefault="000D083E" w:rsidP="000D083E">
      <w:pPr>
        <w:spacing w:line="40" w:lineRule="exact"/>
        <w:rPr>
          <w:rFonts w:ascii="仿宋_GB2312" w:eastAsia="仿宋_GB2312" w:hAnsi="宋体" w:cs="宋体" w:hint="eastAsia"/>
          <w:kern w:val="0"/>
          <w:sz w:val="32"/>
          <w:szCs w:val="32"/>
        </w:rPr>
      </w:pPr>
    </w:p>
    <w:p w:rsidR="000D083E" w:rsidRDefault="000D083E" w:rsidP="000D083E">
      <w:pPr>
        <w:spacing w:line="40" w:lineRule="exact"/>
        <w:rPr>
          <w:rFonts w:ascii="仿宋_GB2312" w:eastAsia="仿宋_GB2312" w:hAnsi="宋体" w:cs="宋体" w:hint="eastAsia"/>
          <w:kern w:val="0"/>
          <w:sz w:val="32"/>
          <w:szCs w:val="32"/>
        </w:rPr>
      </w:pPr>
    </w:p>
    <w:p w:rsidR="000D083E" w:rsidRDefault="000D083E" w:rsidP="000D083E">
      <w:pPr>
        <w:spacing w:line="40" w:lineRule="exact"/>
        <w:rPr>
          <w:rFonts w:ascii="仿宋_GB2312" w:eastAsia="仿宋_GB2312" w:hAnsi="宋体" w:cs="宋体" w:hint="eastAsia"/>
          <w:kern w:val="0"/>
          <w:sz w:val="32"/>
          <w:szCs w:val="32"/>
        </w:rPr>
      </w:pPr>
    </w:p>
    <w:p w:rsidR="000D083E" w:rsidRDefault="000D083E" w:rsidP="000D083E">
      <w:pPr>
        <w:spacing w:line="40" w:lineRule="exact"/>
        <w:rPr>
          <w:rFonts w:ascii="仿宋_GB2312" w:eastAsia="仿宋_GB2312" w:hAnsi="宋体" w:cs="宋体" w:hint="eastAsia"/>
          <w:kern w:val="0"/>
          <w:sz w:val="32"/>
          <w:szCs w:val="32"/>
        </w:rPr>
      </w:pPr>
    </w:p>
    <w:p w:rsidR="000D083E" w:rsidRDefault="000D083E" w:rsidP="000D083E">
      <w:pPr>
        <w:spacing w:line="40" w:lineRule="exact"/>
        <w:rPr>
          <w:rFonts w:ascii="仿宋_GB2312" w:eastAsia="仿宋_GB2312" w:hAnsi="宋体" w:cs="宋体" w:hint="eastAsia"/>
          <w:kern w:val="0"/>
          <w:sz w:val="32"/>
          <w:szCs w:val="32"/>
        </w:rPr>
      </w:pPr>
    </w:p>
    <w:p w:rsidR="000D083E" w:rsidRDefault="000D083E" w:rsidP="000D083E">
      <w:pPr>
        <w:spacing w:line="40" w:lineRule="exact"/>
        <w:rPr>
          <w:rFonts w:ascii="仿宋_GB2312" w:eastAsia="仿宋_GB2312" w:hAnsi="宋体" w:cs="宋体" w:hint="eastAsia"/>
          <w:kern w:val="0"/>
          <w:sz w:val="32"/>
          <w:szCs w:val="32"/>
        </w:rPr>
      </w:pPr>
    </w:p>
    <w:p w:rsidR="000D083E" w:rsidRDefault="000D083E" w:rsidP="000D083E">
      <w:pPr>
        <w:spacing w:line="40" w:lineRule="exact"/>
        <w:rPr>
          <w:rFonts w:ascii="仿宋_GB2312" w:eastAsia="仿宋_GB2312" w:hAnsi="宋体" w:cs="宋体" w:hint="eastAsia"/>
          <w:kern w:val="0"/>
          <w:sz w:val="32"/>
          <w:szCs w:val="32"/>
        </w:rPr>
      </w:pPr>
    </w:p>
    <w:p w:rsidR="000D083E" w:rsidRDefault="000D083E" w:rsidP="000D083E">
      <w:pPr>
        <w:spacing w:line="40" w:lineRule="exact"/>
        <w:rPr>
          <w:rFonts w:ascii="仿宋_GB2312" w:eastAsia="仿宋_GB2312" w:hAnsi="宋体" w:cs="宋体" w:hint="eastAsia"/>
          <w:kern w:val="0"/>
          <w:sz w:val="32"/>
          <w:szCs w:val="32"/>
        </w:rPr>
      </w:pPr>
    </w:p>
    <w:p w:rsidR="000D083E" w:rsidRDefault="000D083E" w:rsidP="000D083E">
      <w:pPr>
        <w:spacing w:line="40" w:lineRule="exact"/>
        <w:rPr>
          <w:rFonts w:ascii="仿宋_GB2312" w:eastAsia="仿宋_GB2312" w:hAnsi="宋体" w:cs="宋体" w:hint="eastAsia"/>
          <w:kern w:val="0"/>
          <w:sz w:val="32"/>
          <w:szCs w:val="32"/>
        </w:rPr>
      </w:pPr>
    </w:p>
    <w:p w:rsidR="000D083E" w:rsidRDefault="000D083E" w:rsidP="000D083E">
      <w:pPr>
        <w:spacing w:line="40" w:lineRule="exact"/>
        <w:rPr>
          <w:rFonts w:ascii="仿宋_GB2312" w:eastAsia="仿宋_GB2312" w:hAnsi="宋体" w:cs="宋体" w:hint="eastAsia"/>
          <w:kern w:val="0"/>
          <w:sz w:val="32"/>
          <w:szCs w:val="32"/>
        </w:rPr>
      </w:pPr>
    </w:p>
    <w:p w:rsidR="000D083E" w:rsidRDefault="000D083E" w:rsidP="000D083E">
      <w:pPr>
        <w:spacing w:line="40" w:lineRule="exact"/>
        <w:rPr>
          <w:rFonts w:ascii="仿宋_GB2312" w:eastAsia="仿宋_GB2312" w:hAnsi="宋体" w:cs="宋体" w:hint="eastAsia"/>
          <w:kern w:val="0"/>
          <w:sz w:val="32"/>
          <w:szCs w:val="32"/>
        </w:rPr>
      </w:pPr>
    </w:p>
    <w:p w:rsidR="000D083E" w:rsidRDefault="000D083E" w:rsidP="000D083E">
      <w:pPr>
        <w:spacing w:line="40" w:lineRule="exact"/>
        <w:rPr>
          <w:rFonts w:ascii="仿宋_GB2312" w:eastAsia="仿宋_GB2312" w:hAnsi="宋体" w:cs="宋体" w:hint="eastAsia"/>
          <w:kern w:val="0"/>
          <w:sz w:val="32"/>
          <w:szCs w:val="32"/>
        </w:rPr>
      </w:pPr>
    </w:p>
    <w:tbl>
      <w:tblPr>
        <w:tblW w:w="0" w:type="auto"/>
        <w:tblInd w:w="108" w:type="dxa"/>
        <w:tblLayout w:type="fixed"/>
        <w:tblLook w:val="0000"/>
      </w:tblPr>
      <w:tblGrid>
        <w:gridCol w:w="5454"/>
        <w:gridCol w:w="4140"/>
      </w:tblGrid>
      <w:tr w:rsidR="000D083E" w:rsidTr="00011082">
        <w:trPr>
          <w:trHeight w:val="567"/>
        </w:trPr>
        <w:tc>
          <w:tcPr>
            <w:tcW w:w="5454" w:type="dxa"/>
            <w:tcBorders>
              <w:top w:val="single" w:sz="4" w:space="0" w:color="000000"/>
              <w:left w:val="nil"/>
              <w:bottom w:val="single" w:sz="4" w:space="0" w:color="000000"/>
              <w:right w:val="nil"/>
            </w:tcBorders>
            <w:vAlign w:val="center"/>
          </w:tcPr>
          <w:p w:rsidR="000D083E" w:rsidRDefault="000D083E" w:rsidP="00011082">
            <w:pPr>
              <w:adjustRightInd w:val="0"/>
              <w:snapToGrid w:val="0"/>
              <w:spacing w:line="520" w:lineRule="exact"/>
              <w:ind w:firstLineChars="100" w:firstLine="320"/>
              <w:rPr>
                <w:rFonts w:ascii="仿宋_GB2312" w:eastAsia="仿宋_GB2312"/>
                <w:sz w:val="32"/>
                <w:szCs w:val="32"/>
              </w:rPr>
            </w:pPr>
            <w:r>
              <w:rPr>
                <w:rFonts w:ascii="仿宋_GB2312" w:eastAsia="仿宋_GB2312" w:hint="eastAsia"/>
                <w:sz w:val="32"/>
                <w:szCs w:val="32"/>
              </w:rPr>
              <w:t>昆明理工大学办公室</w:t>
            </w:r>
          </w:p>
        </w:tc>
        <w:tc>
          <w:tcPr>
            <w:tcW w:w="4140" w:type="dxa"/>
            <w:tcBorders>
              <w:top w:val="single" w:sz="4" w:space="0" w:color="000000"/>
              <w:left w:val="nil"/>
              <w:bottom w:val="single" w:sz="4" w:space="0" w:color="000000"/>
              <w:right w:val="nil"/>
            </w:tcBorders>
            <w:vAlign w:val="center"/>
          </w:tcPr>
          <w:p w:rsidR="000D083E" w:rsidRDefault="000D083E" w:rsidP="00011082">
            <w:pPr>
              <w:adjustRightInd w:val="0"/>
              <w:snapToGrid w:val="0"/>
              <w:spacing w:line="520" w:lineRule="exact"/>
              <w:ind w:firstLineChars="250" w:firstLine="800"/>
              <w:rPr>
                <w:rFonts w:ascii="仿宋_GB2312" w:eastAsia="仿宋_GB2312"/>
                <w:sz w:val="32"/>
                <w:szCs w:val="32"/>
              </w:rPr>
            </w:pPr>
            <w:r>
              <w:rPr>
                <w:rFonts w:ascii="仿宋_GB2312" w:eastAsia="仿宋_GB2312" w:hint="eastAsia"/>
                <w:sz w:val="32"/>
                <w:szCs w:val="32"/>
              </w:rPr>
              <w:t>2014年12月24日印</w:t>
            </w:r>
          </w:p>
        </w:tc>
      </w:tr>
    </w:tbl>
    <w:p w:rsidR="009B42C8" w:rsidRDefault="009B42C8"/>
    <w:sectPr w:rsidR="009B42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2C8" w:rsidRDefault="009B42C8" w:rsidP="000D083E">
      <w:r>
        <w:separator/>
      </w:r>
    </w:p>
  </w:endnote>
  <w:endnote w:type="continuationSeparator" w:id="1">
    <w:p w:rsidR="009B42C8" w:rsidRDefault="009B42C8" w:rsidP="000D08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黑体"/>
    <w:charset w:val="86"/>
    <w:family w:val="script"/>
    <w:pitch w:val="default"/>
    <w:sig w:usb0="00000000" w:usb1="00000000" w:usb2="00000010" w:usb3="00000000" w:csb0="00040000" w:csb1="00000000"/>
  </w:font>
  <w:font w:name="方正黑体_GBK">
    <w:altName w:val="黑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2C8" w:rsidRDefault="009B42C8" w:rsidP="000D083E">
      <w:r>
        <w:separator/>
      </w:r>
    </w:p>
  </w:footnote>
  <w:footnote w:type="continuationSeparator" w:id="1">
    <w:p w:rsidR="009B42C8" w:rsidRDefault="009B42C8" w:rsidP="000D08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83E"/>
    <w:rsid w:val="000D083E"/>
    <w:rsid w:val="009B4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8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08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D083E"/>
    <w:rPr>
      <w:sz w:val="18"/>
      <w:szCs w:val="18"/>
    </w:rPr>
  </w:style>
  <w:style w:type="paragraph" w:styleId="a4">
    <w:name w:val="footer"/>
    <w:basedOn w:val="a"/>
    <w:link w:val="Char0"/>
    <w:uiPriority w:val="99"/>
    <w:semiHidden/>
    <w:unhideWhenUsed/>
    <w:rsid w:val="000D08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D083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2017-05-03T03:41:00Z</dcterms:created>
  <dcterms:modified xsi:type="dcterms:W3CDTF">2017-05-03T03:42:00Z</dcterms:modified>
</cp:coreProperties>
</file>