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云南省研究生优秀科技创新成果奖推荐名单</w:t>
      </w:r>
    </w:p>
    <w:tbl>
      <w:tblPr>
        <w:tblStyle w:val="2"/>
        <w:tblW w:w="9060" w:type="dxa"/>
        <w:tblInd w:w="-482" w:type="dxa"/>
        <w:shd w:val="clear" w:color="auto" w:fill="auto"/>
        <w:tblLayout w:type="fixed"/>
        <w:tblCellMar>
          <w:top w:w="0" w:type="dxa"/>
          <w:left w:w="0" w:type="dxa"/>
          <w:bottom w:w="0" w:type="dxa"/>
          <w:right w:w="0" w:type="dxa"/>
        </w:tblCellMar>
      </w:tblPr>
      <w:tblGrid>
        <w:gridCol w:w="631"/>
        <w:gridCol w:w="1274"/>
        <w:gridCol w:w="1125"/>
        <w:gridCol w:w="2760"/>
        <w:gridCol w:w="1020"/>
        <w:gridCol w:w="1200"/>
        <w:gridCol w:w="1050"/>
      </w:tblGrid>
      <w:tr>
        <w:tblPrEx>
          <w:tblLayout w:type="fixed"/>
          <w:tblCellMar>
            <w:top w:w="0" w:type="dxa"/>
            <w:left w:w="0" w:type="dxa"/>
            <w:bottom w:w="0" w:type="dxa"/>
            <w:right w:w="0"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序号</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所在学院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姓名</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成果名称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成果类别</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成果形式</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454" w:hRule="atLeast"/>
        </w:trPr>
        <w:tc>
          <w:tcPr>
            <w:tcW w:w="63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w:t>
            </w:r>
          </w:p>
        </w:tc>
        <w:tc>
          <w:tcPr>
            <w:tcW w:w="12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冶金与能源工程学院</w:t>
            </w:r>
          </w:p>
        </w:tc>
        <w:tc>
          <w:tcPr>
            <w:tcW w:w="11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和媛</w:t>
            </w:r>
          </w:p>
        </w:tc>
        <w:tc>
          <w:tcPr>
            <w:tcW w:w="276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湿法冶金微流体萃取分离稀土的理论研究</w:t>
            </w:r>
          </w:p>
        </w:tc>
        <w:tc>
          <w:tcPr>
            <w:tcW w:w="10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理论成果</w:t>
            </w:r>
          </w:p>
        </w:tc>
        <w:tc>
          <w:tcPr>
            <w:tcW w:w="12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论文</w:t>
            </w:r>
          </w:p>
        </w:tc>
        <w:tc>
          <w:tcPr>
            <w:tcW w:w="10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454" w:hRule="atLeast"/>
        </w:trPr>
        <w:tc>
          <w:tcPr>
            <w:tcW w:w="6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p>
        </w:tc>
        <w:tc>
          <w:tcPr>
            <w:tcW w:w="12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2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陈楷华 </w:t>
            </w:r>
          </w:p>
        </w:tc>
        <w:tc>
          <w:tcPr>
            <w:tcW w:w="27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454" w:hRule="atLeast"/>
        </w:trPr>
        <w:tc>
          <w:tcPr>
            <w:tcW w:w="6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p>
        </w:tc>
        <w:tc>
          <w:tcPr>
            <w:tcW w:w="12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2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张良静</w:t>
            </w:r>
          </w:p>
        </w:tc>
        <w:tc>
          <w:tcPr>
            <w:tcW w:w="27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454" w:hRule="atLeast"/>
        </w:trPr>
        <w:tc>
          <w:tcPr>
            <w:tcW w:w="63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p>
        </w:tc>
        <w:tc>
          <w:tcPr>
            <w:tcW w:w="12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1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吕鹏</w:t>
            </w:r>
          </w:p>
        </w:tc>
        <w:tc>
          <w:tcPr>
            <w:tcW w:w="276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0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10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w:t>
            </w: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卢春强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钒钛磁铁矿用于化学链分解水制氢基础研究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理论成果</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论文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10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w:t>
            </w:r>
          </w:p>
        </w:tc>
        <w:tc>
          <w:tcPr>
            <w:tcW w:w="127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李浩宇</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超声波外场强化清洁生产银的理论研究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理论成果</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论文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10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w:t>
            </w:r>
          </w:p>
        </w:tc>
        <w:tc>
          <w:tcPr>
            <w:tcW w:w="127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建筑工程学院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胡政</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岩质边坡稳定性的塑性极限分析法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论文、专利</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10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w:t>
            </w:r>
          </w:p>
        </w:tc>
        <w:tc>
          <w:tcPr>
            <w:tcW w:w="127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国土资源工程学院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白旭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复杂混合铜矿选冶联合回收新工艺及浸出机理研究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SCI论文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10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w:t>
            </w:r>
          </w:p>
        </w:tc>
        <w:tc>
          <w:tcPr>
            <w:tcW w:w="127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杨文才</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松散砾石土渗透注浆过程注浆流体参数监测研究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理论、应用技术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专著、应用设计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10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w:t>
            </w:r>
          </w:p>
        </w:tc>
        <w:tc>
          <w:tcPr>
            <w:tcW w:w="127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田安红</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分数阶微分对不同人类干扰程度中的盐渍土盐分及养分的反演研究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论文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备选</w:t>
            </w:r>
          </w:p>
        </w:tc>
      </w:tr>
      <w:tr>
        <w:tblPrEx>
          <w:shd w:val="clear" w:color="auto" w:fill="auto"/>
          <w:tblLayout w:type="fixed"/>
          <w:tblCellMar>
            <w:top w:w="0" w:type="dxa"/>
            <w:left w:w="0" w:type="dxa"/>
            <w:bottom w:w="0" w:type="dxa"/>
            <w:right w:w="0" w:type="dxa"/>
          </w:tblCellMar>
        </w:tblPrEx>
        <w:trPr>
          <w:trHeight w:val="10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w:t>
            </w:r>
          </w:p>
        </w:tc>
        <w:tc>
          <w:tcPr>
            <w:tcW w:w="127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机电工程学院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陈娅君</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含辅助结构的微流控芯片液液萃取装置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论文、专利</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10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w:t>
            </w:r>
          </w:p>
        </w:tc>
        <w:tc>
          <w:tcPr>
            <w:tcW w:w="127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罗茂林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球轴承滚道损伤双冲击现象机理建模研究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理论成果</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论文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10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10</w:t>
            </w:r>
          </w:p>
        </w:tc>
        <w:tc>
          <w:tcPr>
            <w:tcW w:w="127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马克思主义学院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龙逸</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基于生态视角下的乡村振兴战略——以云南省特色小镇为例</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理论成果</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论文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备选</w:t>
            </w:r>
          </w:p>
        </w:tc>
      </w:tr>
      <w:tr>
        <w:tblPrEx>
          <w:shd w:val="clear" w:color="auto" w:fill="auto"/>
          <w:tblLayout w:type="fixed"/>
          <w:tblCellMar>
            <w:top w:w="0" w:type="dxa"/>
            <w:left w:w="0" w:type="dxa"/>
            <w:bottom w:w="0" w:type="dxa"/>
            <w:right w:w="0" w:type="dxa"/>
          </w:tblCellMar>
        </w:tblPrEx>
        <w:trPr>
          <w:trHeight w:val="10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11</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化学工程学院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聂云祥</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含磷矿浆湿法烟气脱硫脱硝技术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应用技术</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应用设计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10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12</w:t>
            </w:r>
          </w:p>
        </w:tc>
        <w:tc>
          <w:tcPr>
            <w:tcW w:w="12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农业与食品学院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刘秋鸣</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云南野生食用菌基础营养性和灰褐牛肝菌黑色素研究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论文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10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13</w:t>
            </w: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王鑫</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通过逐层沉积轻松制备无氟超疏水/超亲油纸来实现自清洁和油/水分离和制造具有改善水分和空气阻隔性能的食品安全的超疏水纤维素纸</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论文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备选</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10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14</w:t>
            </w: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曹春号</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蒸发器水面蒸发量智慧检测装置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应用技术</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论文、装置、专利、软著</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10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15</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电力工程学院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杜春峰</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新能源电动汽车动力锂离子电池系统能量均衡研究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专利、论文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11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16</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复杂有色金属资源清洁利用国家重点实验室</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李春龙</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菱锌矿硫化及氯-铵组元促进菱锌矿硫化的理论研究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论文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10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17</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刘妧晨</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多种新型分子印迹技术的研究与应用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论文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132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18</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环境科学与工程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王朋</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肺癌高发病率地区被忽略的新型健康风险物质-环境持久性自由基(EPFRs)的形成机理研究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论文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10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19</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生命与科学学院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董志祥</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水生脊索动物全基因组microRNA表达对外源物刺激的响应</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论文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10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20</w:t>
            </w:r>
          </w:p>
        </w:tc>
        <w:tc>
          <w:tcPr>
            <w:tcW w:w="12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信息工程与自动化学院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潘贝</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基于进化优化和多样性相似度的即时学习软测量建模方法</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论文、专利</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10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21</w:t>
            </w: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何雨洁</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离散教与学优化算法求解复杂并行机调度问题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论文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10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22</w:t>
            </w: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孙在省</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基于块结构邻域的智能算法求解可重入作业车间调度问题</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理论</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论文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shd w:val="clear" w:color="auto" w:fill="auto"/>
          <w:tblLayout w:type="fixed"/>
          <w:tblCellMar>
            <w:top w:w="0" w:type="dxa"/>
            <w:left w:w="0" w:type="dxa"/>
            <w:bottom w:w="0" w:type="dxa"/>
            <w:right w:w="0" w:type="dxa"/>
          </w:tblCellMar>
        </w:tblPrEx>
        <w:trPr>
          <w:trHeight w:val="10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23</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材料科学与工程学院</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阮久凤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ind w:left="0" w:leftChars="0" w:firstLine="240" w:firstLineChars="100"/>
              <w:jc w:val="left"/>
              <w:textAlignment w:val="center"/>
              <w:rPr>
                <w:rFonts w:hint="eastAsia" w:ascii="仿宋_GB2312" w:hAnsi="仿宋_GB2312" w:eastAsia="仿宋_GB2312" w:cs="仿宋_GB2312"/>
                <w:i w:val="0"/>
                <w:color w:val="000000"/>
                <w:sz w:val="24"/>
                <w:szCs w:val="24"/>
                <w:u w:val="none"/>
              </w:rPr>
            </w:pPr>
            <w:r>
              <w:rPr>
                <w:rStyle w:val="4"/>
                <w:rFonts w:hint="eastAsia" w:ascii="仿宋_GB2312" w:hAnsi="仿宋_GB2312" w:eastAsia="仿宋_GB2312" w:cs="仿宋_GB2312"/>
                <w:sz w:val="24"/>
                <w:szCs w:val="24"/>
                <w:lang w:val="en-US" w:eastAsia="zh-CN" w:bidi="ar"/>
              </w:rPr>
              <w:t>WO</w:t>
            </w:r>
            <w:r>
              <w:rPr>
                <w:rStyle w:val="5"/>
                <w:rFonts w:hint="eastAsia" w:ascii="仿宋_GB2312" w:hAnsi="仿宋_GB2312" w:eastAsia="仿宋_GB2312" w:cs="仿宋_GB2312"/>
                <w:sz w:val="24"/>
                <w:szCs w:val="24"/>
                <w:lang w:val="en-US" w:eastAsia="zh-CN" w:bidi="ar"/>
              </w:rPr>
              <w:t>3</w:t>
            </w:r>
            <w:r>
              <w:rPr>
                <w:rStyle w:val="4"/>
                <w:rFonts w:hint="eastAsia" w:ascii="仿宋_GB2312" w:hAnsi="仿宋_GB2312" w:eastAsia="仿宋_GB2312" w:cs="仿宋_GB2312"/>
                <w:sz w:val="24"/>
                <w:szCs w:val="24"/>
                <w:lang w:val="en-US" w:eastAsia="zh-CN" w:bidi="ar"/>
              </w:rPr>
              <w:t>: Yb</w:t>
            </w:r>
            <w:r>
              <w:rPr>
                <w:rStyle w:val="6"/>
                <w:rFonts w:hint="eastAsia" w:ascii="仿宋_GB2312" w:hAnsi="仿宋_GB2312" w:eastAsia="仿宋_GB2312" w:cs="仿宋_GB2312"/>
                <w:sz w:val="24"/>
                <w:szCs w:val="24"/>
                <w:lang w:val="en-US" w:eastAsia="zh-CN" w:bidi="ar"/>
              </w:rPr>
              <w:t>3+</w:t>
            </w:r>
            <w:r>
              <w:rPr>
                <w:rStyle w:val="4"/>
                <w:rFonts w:hint="eastAsia" w:ascii="仿宋_GB2312" w:hAnsi="仿宋_GB2312" w:eastAsia="仿宋_GB2312" w:cs="仿宋_GB2312"/>
                <w:sz w:val="24"/>
                <w:szCs w:val="24"/>
                <w:lang w:val="en-US" w:eastAsia="zh-CN" w:bidi="ar"/>
              </w:rPr>
              <w:t>, Er</w:t>
            </w:r>
            <w:r>
              <w:rPr>
                <w:rStyle w:val="6"/>
                <w:rFonts w:hint="eastAsia" w:ascii="仿宋_GB2312" w:hAnsi="仿宋_GB2312" w:eastAsia="仿宋_GB2312" w:cs="仿宋_GB2312"/>
                <w:sz w:val="24"/>
                <w:szCs w:val="24"/>
                <w:lang w:val="en-US" w:eastAsia="zh-CN" w:bidi="ar"/>
              </w:rPr>
              <w:t>3+</w:t>
            </w:r>
            <w:r>
              <w:rPr>
                <w:rStyle w:val="4"/>
                <w:rFonts w:hint="eastAsia" w:ascii="仿宋_GB2312" w:hAnsi="仿宋_GB2312" w:eastAsia="仿宋_GB2312" w:cs="仿宋_GB2312"/>
                <w:sz w:val="24"/>
                <w:szCs w:val="24"/>
                <w:lang w:val="en-US" w:eastAsia="zh-CN" w:bidi="ar"/>
              </w:rPr>
              <w:t>变色效应诱导可逆上</w:t>
            </w:r>
            <w:r>
              <w:rPr>
                <w:rStyle w:val="7"/>
                <w:rFonts w:hint="eastAsia" w:ascii="仿宋_GB2312" w:hAnsi="仿宋_GB2312" w:eastAsia="仿宋_GB2312" w:cs="仿宋_GB2312"/>
                <w:sz w:val="24"/>
                <w:szCs w:val="24"/>
                <w:lang w:val="en-US" w:eastAsia="zh-CN" w:bidi="ar"/>
              </w:rPr>
              <w:t>转换</w:t>
            </w:r>
            <w:r>
              <w:rPr>
                <w:rStyle w:val="4"/>
                <w:rFonts w:hint="eastAsia" w:ascii="仿宋_GB2312" w:hAnsi="仿宋_GB2312" w:eastAsia="仿宋_GB2312" w:cs="仿宋_GB2312"/>
                <w:sz w:val="24"/>
                <w:szCs w:val="24"/>
                <w:lang w:val="en-US" w:eastAsia="zh-CN" w:bidi="ar"/>
              </w:rPr>
              <w:t>发光调控的机理及其应用研究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自然科学</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论文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046A8"/>
    <w:rsid w:val="3B004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31"/>
    <w:basedOn w:val="3"/>
    <w:qFormat/>
    <w:uiPriority w:val="0"/>
    <w:rPr>
      <w:rFonts w:hint="default" w:ascii="Times New Roman" w:hAnsi="Times New Roman" w:cs="Times New Roman"/>
      <w:color w:val="000000"/>
      <w:sz w:val="20"/>
      <w:szCs w:val="20"/>
      <w:u w:val="none"/>
    </w:rPr>
  </w:style>
  <w:style w:type="character" w:customStyle="1" w:styleId="5">
    <w:name w:val="font81"/>
    <w:basedOn w:val="3"/>
    <w:qFormat/>
    <w:uiPriority w:val="0"/>
    <w:rPr>
      <w:rFonts w:hint="default" w:ascii="Times New Roman" w:hAnsi="Times New Roman" w:cs="Times New Roman"/>
      <w:color w:val="000000"/>
      <w:sz w:val="20"/>
      <w:szCs w:val="20"/>
      <w:u w:val="none"/>
      <w:vertAlign w:val="subscript"/>
    </w:rPr>
  </w:style>
  <w:style w:type="character" w:customStyle="1" w:styleId="6">
    <w:name w:val="font41"/>
    <w:basedOn w:val="3"/>
    <w:qFormat/>
    <w:uiPriority w:val="0"/>
    <w:rPr>
      <w:rFonts w:hint="default" w:ascii="Times New Roman" w:hAnsi="Times New Roman" w:cs="Times New Roman"/>
      <w:color w:val="000000"/>
      <w:sz w:val="20"/>
      <w:szCs w:val="20"/>
      <w:u w:val="none"/>
      <w:vertAlign w:val="superscript"/>
    </w:rPr>
  </w:style>
  <w:style w:type="character" w:customStyle="1" w:styleId="7">
    <w:name w:val="font7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2019-05-15T08:46:00Z</dcterms:created>
  <dc:creator>宁珊</dc:creator>
  <cp:lastModifiedBy>宁珊</cp:lastModifiedBy>
  <dcterms:modified xsi:type="dcterms:W3CDTF">2019-05-15T08:48:29Z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